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tkinson Hyperlegible" w:cs="Atkinson Hyperlegible" w:eastAsia="Atkinson Hyperlegible" w:hAnsi="Atkinson Hyperlegible"/>
          <w:b w:val="1"/>
          <w:color w:val="007bc4"/>
          <w:sz w:val="32"/>
          <w:szCs w:val="32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color w:val="007bc4"/>
          <w:sz w:val="32"/>
          <w:szCs w:val="32"/>
          <w:rtl w:val="0"/>
        </w:rPr>
        <w:t xml:space="preserve">TÁBOA DE INDICADORES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tkinson Hyperlegible" w:cs="Atkinson Hyperlegible" w:eastAsia="Atkinson Hyperlegible" w:hAnsi="Atkinson Hyperlegible"/>
          <w:b w:val="1"/>
          <w:color w:val="002b4a"/>
          <w:sz w:val="26"/>
          <w:szCs w:val="26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color w:val="002b4a"/>
          <w:sz w:val="26"/>
          <w:szCs w:val="26"/>
          <w:rtl w:val="0"/>
        </w:rPr>
        <w:t xml:space="preserve">Activade_______________________________________________________________________________________data______________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tkinson Hyperlegible" w:cs="Atkinson Hyperlegible" w:eastAsia="Atkinson Hyperlegible" w:hAnsi="Atkinson Hyperlegible"/>
          <w:b w:val="1"/>
          <w:color w:val="002b4a"/>
          <w:sz w:val="26"/>
          <w:szCs w:val="26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color w:val="002b4a"/>
          <w:sz w:val="26"/>
          <w:szCs w:val="26"/>
          <w:rtl w:val="0"/>
        </w:rPr>
        <w:t xml:space="preserve">Nome________________________________________________________________________________________puntuación_________</w:t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ffffff"/>
                <w:sz w:val="26"/>
                <w:szCs w:val="26"/>
                <w:rtl w:val="0"/>
              </w:rPr>
              <w:t xml:space="preserve">Conseguido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tkinson Hyperlegible" w:cs="Atkinson Hyperlegible" w:eastAsia="Atkinson Hyperlegible" w:hAnsi="Atkinson Hyperlegible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ffffff"/>
                <w:sz w:val="26"/>
                <w:szCs w:val="26"/>
                <w:rtl w:val="0"/>
              </w:rPr>
              <w:t xml:space="preserve">Non conseguido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  <w:rtl w:val="0"/>
              </w:rPr>
              <w:t xml:space="preserve">Aprendizaxe do alumnado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 situación de aprendizaxe serviu para que o alumnado adquirira novas aprendizaxes.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 situación de aprendizaxe non foi axeitada e non axudou a adquirir novas aprendizaxes. (0)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  <w:rtl w:val="0"/>
              </w:rPr>
              <w:t xml:space="preserve">Participación activa de todo alumnado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Conseguiuse a participación activa de todo alumnado, o avanzado axudaba ao que tiña dificultades nos equipos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 participación activa de todo alumnado. (0)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  <w:rtl w:val="0"/>
              </w:rPr>
              <w:t xml:space="preserve">Organización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 organización foi axeitada para conseguir os obxectivos propostos.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 organización non foi axeitada ou non houbo moita improvisación que fai que a unidade non sexa sistemática. (0)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  <w:rtl w:val="0"/>
              </w:rPr>
              <w:t xml:space="preserve">Nivel de dificultade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O nivel de dificultade foi axeitado para o nivel do alumnado.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O nivel de dificultade foi excesivo ou inferior ó precisado, polo que a aprendizaxe non foi exitoso. (0)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2b4a"/>
                <w:sz w:val="26"/>
                <w:szCs w:val="26"/>
                <w:rtl w:val="0"/>
              </w:rPr>
              <w:t xml:space="preserve">Motivación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As actividades foron motivadoras, logrando que o alumnado fora activo na aprendizaxe.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As actividades non motivaron ao alumnado, creando indiferencia e desánimo. (0)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sz w:val="26"/>
                <w:szCs w:val="26"/>
                <w:rtl w:val="0"/>
              </w:rPr>
              <w:t xml:space="preserve">Medidas no currículo para o alumnado con NEAE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Adoptáronse as medidas curriculares adecuadas para atender ao alumnado con NEAE.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As medidas curriculares para o alumnado con NEAE non foron axeitadas. (0)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sz w:val="26"/>
                <w:szCs w:val="26"/>
                <w:rtl w:val="0"/>
              </w:rPr>
              <w:t xml:space="preserve">Atención do profesorado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O profesorado atendeu de maneira axeitada as dúbidas que foron xurdindo no proceso (1)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color w:val="002b4a"/>
                <w:sz w:val="26"/>
                <w:szCs w:val="26"/>
                <w:rtl w:val="0"/>
              </w:rPr>
              <w:t xml:space="preserve">Existían demasiadas dúbidas nos procesos e o profesorado non foi capaz de atendelas axeitadamente. (0)</w:t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tkinson Hyperlegible" w:cs="Atkinson Hyperlegible" w:eastAsia="Atkinson Hyperlegible" w:hAnsi="Atkinson Hyperlegible"/>
          <w:b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tkinson Hyperlegible" w:cs="Atkinson Hyperlegible" w:eastAsia="Atkinson Hyperlegible" w:hAnsi="Atkinson Hyperlegible"/>
          <w:b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tkinson Hyperlegible" w:cs="Atkinson Hyperlegible" w:eastAsia="Atkinson Hyperlegible" w:hAnsi="Atkinson Hyperlegible"/>
          <w:b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tkinson Hyperlegible" w:cs="Atkinson Hyperlegible" w:eastAsia="Atkinson Hyperlegible" w:hAnsi="Atkinson Hyperlegible"/>
          <w:b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left"/>
        <w:rPr>
          <w:rFonts w:ascii="Atkinson Hyperlegible" w:cs="Atkinson Hyperlegible" w:eastAsia="Atkinson Hyperlegible" w:hAnsi="Atkinson Hyperlegible"/>
          <w:b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rPr>
        <w:color w:val="002b4a"/>
      </w:rPr>
    </w:pPr>
    <w:r w:rsidDel="00000000" w:rsidR="00000000" w:rsidRPr="00000000">
      <w:rPr/>
      <w:drawing>
        <wp:inline distB="114300" distT="114300" distL="114300" distR="114300">
          <wp:extent cx="918000" cy="3259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000" cy="3259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tkinson Hyperlegible" w:cs="Atkinson Hyperlegible" w:eastAsia="Atkinson Hyperlegible" w:hAnsi="Atkinson Hyperlegible"/>
        <w:color w:val="002b4a"/>
        <w:sz w:val="20"/>
        <w:szCs w:val="20"/>
        <w:rtl w:val="0"/>
      </w:rPr>
      <w:t xml:space="preserve">“Lista de cotexo ensino aprendizaxe”, do proxecto </w:t>
    </w:r>
    <w:r w:rsidDel="00000000" w:rsidR="00000000" w:rsidRPr="00000000">
      <w:rPr>
        <w:rFonts w:ascii="Atkinson Hyperlegible" w:cs="Atkinson Hyperlegible" w:eastAsia="Atkinson Hyperlegible" w:hAnsi="Atkinson Hyperlegible"/>
        <w:i w:val="1"/>
        <w:color w:val="002b4a"/>
        <w:sz w:val="20"/>
        <w:szCs w:val="20"/>
        <w:rtl w:val="0"/>
      </w:rPr>
      <w:t xml:space="preserve">cREAgal</w:t>
    </w:r>
    <w:r w:rsidDel="00000000" w:rsidR="00000000" w:rsidRPr="00000000">
      <w:rPr>
        <w:rFonts w:ascii="Atkinson Hyperlegible" w:cs="Atkinson Hyperlegible" w:eastAsia="Atkinson Hyperlegible" w:hAnsi="Atkinson Hyperlegible"/>
        <w:color w:val="002b4a"/>
        <w:sz w:val="20"/>
        <w:szCs w:val="20"/>
        <w:rtl w:val="0"/>
      </w:rPr>
      <w:t xml:space="preserve">, publícase coa</w:t>
    </w:r>
    <w:hyperlink r:id="rId2">
      <w:r w:rsidDel="00000000" w:rsidR="00000000" w:rsidRPr="00000000">
        <w:rPr>
          <w:rFonts w:ascii="Atkinson Hyperlegible" w:cs="Atkinson Hyperlegible" w:eastAsia="Atkinson Hyperlegible" w:hAnsi="Atkinson Hyperlegible"/>
          <w:color w:val="002b4a"/>
          <w:sz w:val="20"/>
          <w:szCs w:val="20"/>
          <w:rtl w:val="0"/>
        </w:rPr>
        <w:t xml:space="preserve"> Licenza Creative Commons Recoñecemento Non-comercial Compartir igual 4.0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rPr>
        <w:rFonts w:ascii="Atkinson Hyperlegible" w:cs="Atkinson Hyperlegible" w:eastAsia="Atkinson Hyperlegible" w:hAnsi="Atkinson Hyperlegible"/>
        <w:b w:val="1"/>
        <w:color w:val="007bc4"/>
        <w:sz w:val="26"/>
        <w:szCs w:val="26"/>
      </w:rPr>
    </w:pPr>
    <w:r w:rsidDel="00000000" w:rsidR="00000000" w:rsidRPr="00000000">
      <w:rPr/>
      <w:drawing>
        <wp:inline distB="114300" distT="114300" distL="114300" distR="114300">
          <wp:extent cx="1080000" cy="34269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3426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</w:t>
    </w:r>
    <w:r w:rsidDel="00000000" w:rsidR="00000000" w:rsidRPr="00000000">
      <w:rPr>
        <w:sz w:val="26"/>
        <w:szCs w:val="26"/>
        <w:rtl w:val="0"/>
      </w:rPr>
      <w:t xml:space="preserve">          </w:t>
    </w:r>
    <w:r w:rsidDel="00000000" w:rsidR="00000000" w:rsidRPr="00000000">
      <w:rPr>
        <w:color w:val="0b5394"/>
        <w:sz w:val="26"/>
        <w:szCs w:val="26"/>
        <w:rtl w:val="0"/>
      </w:rPr>
      <w:t xml:space="preserve">                                              </w:t>
    </w:r>
    <w:r w:rsidDel="00000000" w:rsidR="00000000" w:rsidRPr="00000000">
      <w:rPr>
        <w:b w:val="1"/>
        <w:color w:val="0b5394"/>
        <w:sz w:val="26"/>
        <w:szCs w:val="26"/>
        <w:rtl w:val="0"/>
      </w:rPr>
      <w:t xml:space="preserve"> </w:t>
    </w:r>
    <w:r w:rsidDel="00000000" w:rsidR="00000000" w:rsidRPr="00000000">
      <w:rPr>
        <w:rFonts w:ascii="Atkinson Hyperlegible" w:cs="Atkinson Hyperlegible" w:eastAsia="Atkinson Hyperlegible" w:hAnsi="Atkinson Hyperlegible"/>
        <w:b w:val="1"/>
        <w:color w:val="007bc4"/>
        <w:sz w:val="26"/>
        <w:szCs w:val="26"/>
        <w:rtl w:val="0"/>
      </w:rPr>
      <w:t xml:space="preserve">Expoñendo a Prehistoria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creativecommons.org/licenses/by-nc-sa/4.0/deed.g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